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Kingston upon Hull</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Kingston upon Hull</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Kingston upon Hull</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Kingston upon Hull</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Kingston upon Hull</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Kingston upon Hull are estimated to have a score of 1-2 on the PGSI (low-risk gambling), whilst </w:t>
      </w:r>
      <w:r w:rsidRPr="00773DF7">
        <w:rPr>
          <w:rFonts w:ascii="Libre Franklin Light" w:hAnsi="Libre Franklin Light" w:cs="Calibri Light"/>
          <w:b/>
          <w:bCs/>
          <w:color w:val="C45911" w:themeColor="accent2" w:themeShade="BF"/>
        </w:rPr>
        <w:t xml:space="preserve">6.0%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46.4% </w:t>
      </w:r>
      <w:r w:rsidRPr="004747BF">
        <w:rPr>
          <w:rFonts w:ascii="Libre Franklin Light" w:eastAsia="Times New Roman" w:hAnsi="Libre Franklin Light" w:cs="Calibri Light"/>
        </w:rPr>
        <w:t xml:space="preserve">of those respondents classified as PGSI 8+ in Kingston upon Hull</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Kingston upon Hull is estimated to be </w:t>
      </w:r>
      <w:r w:rsidRPr="00773DF7">
        <w:rPr>
          <w:rFonts w:ascii="Libre Franklin Light" w:eastAsia="Times New Roman" w:hAnsi="Libre Franklin Light" w:cs="Calibri Light"/>
          <w:b/>
          <w:bCs/>
          <w:color w:val="C45911" w:themeColor="accent2" w:themeShade="BF"/>
        </w:rPr>
        <w:t xml:space="preserve">£5,192,218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Kingston upon Hull</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17.5%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Kingston upon Hull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Kingston upon Hull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Kingston upon Hull</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Kingston upon Hull.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Kingston upon Hull</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Kingston upon Hull.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Kingston upon Hull</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17.5%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Kingston upon Hull</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46.4%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Kingston upon Hull.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Kingston upon Hull</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Kingston upon Hull</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Kingston upon Hull</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48.1%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Kingston upon Hull</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Kingston upon Hull</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Kingston upon Hull</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£5,192,218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Kingston upon Hull</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£84,573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£1,749,011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£125,293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£35,239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£64,604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£3,133,498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£5,192,218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Kingston upon Hull</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Kingston upon Hull</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24.6%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Kingston upon Hull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26.2%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Kingston upon Hull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8.2%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Kingston upon Hull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Kingston upon Hull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64.4%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Kingston upon Hull</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24.6%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Kingston upon Hull</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26.2%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Kingston upon Hull</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8.2%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Kingston upon Hull</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Kingston upon Hull</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64.4%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Kingston upon Hull</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52D560F-5EDB-47B4-91F6-4990B568485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